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Mulish ExtraLight" w:cs="Mulish ExtraLight" w:eastAsia="Mulish ExtraLight" w:hAnsi="Mulish ExtraLight"/>
          <w:sz w:val="32"/>
          <w:szCs w:val="32"/>
        </w:rPr>
      </w:pPr>
      <w:bookmarkStart w:colFirst="0" w:colLast="0" w:name="_heading=h.hwtydqpu8vkb" w:id="0"/>
      <w:bookmarkEnd w:id="0"/>
      <w:r w:rsidDel="00000000" w:rsidR="00000000" w:rsidRPr="00000000">
        <w:rPr>
          <w:rFonts w:ascii="Mulish ExtraLight" w:cs="Mulish ExtraLight" w:eastAsia="Mulish ExtraLight" w:hAnsi="Mulish ExtraLight"/>
          <w:sz w:val="32"/>
          <w:szCs w:val="32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0" w:line="240" w:lineRule="auto"/>
        <w:jc w:val="left"/>
        <w:rPr>
          <w:rFonts w:ascii="Mulish" w:cs="Mulish" w:eastAsia="Mulish" w:hAnsi="Mulish"/>
          <w:b w:val="1"/>
          <w:sz w:val="32"/>
          <w:szCs w:val="32"/>
        </w:rPr>
      </w:pPr>
      <w:r w:rsidDel="00000000" w:rsidR="00000000" w:rsidRPr="00000000">
        <w:rPr>
          <w:rFonts w:ascii="Mulish" w:cs="Mulish" w:eastAsia="Mulish" w:hAnsi="Mulish"/>
          <w:b w:val="1"/>
          <w:sz w:val="32"/>
          <w:szCs w:val="32"/>
          <w:rtl w:val="0"/>
        </w:rPr>
        <w:t xml:space="preserve">RIDER TÉCNICO DA ESTAÇÃO DAS ARTES</w:t>
      </w:r>
    </w:p>
    <w:p w:rsidR="00000000" w:rsidDel="00000000" w:rsidP="00000000" w:rsidRDefault="00000000" w:rsidRPr="00000000" w14:paraId="00000003">
      <w:pPr>
        <w:widowControl w:val="0"/>
        <w:spacing w:before="98" w:line="240" w:lineRule="auto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23" w:firstLine="0"/>
        <w:rPr>
          <w:rFonts w:ascii="Mulish" w:cs="Mulish" w:eastAsia="Mulish" w:hAnsi="Mulish"/>
          <w:sz w:val="24"/>
          <w:szCs w:val="24"/>
          <w:u w:val="single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u w:val="single"/>
          <w:rtl w:val="0"/>
        </w:rPr>
        <w:t xml:space="preserve">&gt; SOM:</w:t>
      </w:r>
    </w:p>
    <w:p w:rsidR="00000000" w:rsidDel="00000000" w:rsidP="00000000" w:rsidRDefault="00000000" w:rsidRPr="00000000" w14:paraId="00000005">
      <w:pPr>
        <w:widowControl w:val="0"/>
        <w:spacing w:before="91" w:line="240" w:lineRule="auto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- 02 MICROFONE HEADSET SEM FIO UHF QLXD14BR SM35 – SHURE;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- 01 MICROFONE HEADSET SEM FIO UHF SLXD14BR SM35 - SHURE;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- 03 MICROFONE BASTÃO SEM FIO UHF QLXD24BR SM58 – SHURE;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- 01 MICROFONE BASTÃO SEM FIO UHF SLXD24BR SM58 – SHURE;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- 08 MICROFONE BASTÃO COM FIO SM58 – SHURE;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- 08 PEDESTAIS PARA MICROFONE;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- 04 TRIPÉS PARA CAIXA ACÚSTICA ATIVA;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- 01 KIT DE MICROFONE CONDENSER PARA BATERIA (04-E604 ~ 02-614~ 1-E602) - SENNHEISER;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- 06 MICROFONE TIPO GOOSENECK MX418D/C COM BASE DE MESA;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- 02 MÓDULO SUBWOOFER ATIVO PARA LINE ARRAY DRM18S 2000W 18’’ - MACKIE;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- 02 CAIXA ACÚSTICA ATIVA PARA RETORNO DE PALCO SRM210 – MACKIE;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- 06 CAIXA ACÚSTICA ATIVA PARA RETORNO DE PALCO JS12BT – JBL;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- 06 CAIXA ACÚSTICA ATIVA DE DELAY (FIXA) SRM210 - MACKIE;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- 07 MÓDULO FULL RANGE ATIVO PARA LINE ARRAY DRM12A - MACKIE;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- 02 MIXER DIGITAL DE ÁUDIO COM INTERFACE DANTE TF3 24 CANAIS- Yamaha;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- 01 MIXER DIGITAL DE ÁUDIO COM INTERFACE TONEMATCH T45 4 CANAIS – BOSE;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- 02 SISTEMA ATIVO LINE L1PRO32 COM SUBWOOFER SUB2 – BOSE;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- 01 KIT POWER PLAY 7 CANAIS COM 7 MINI BODY PACK M8 – EAM;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- 07 FONES HEADSET K414P – AKG;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- 08 DIRECT BOX PASSIVO WDI 600 – WIRECONNEX;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- 01 MAIN POWER TRIFÁSICO COM ATERRAMENTO SAÍDAS DE ALIMENTAÇÃO 220V E 110V.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  <w:u w:val="single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u w:val="single"/>
          <w:rtl w:val="0"/>
        </w:rPr>
        <w:t xml:space="preserve">&gt; LUZ: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- 18 REFLETORES PAR LED 135W;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- 10 REFLETORES FRESNEL LED 400W;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- 10 ELIPSOIDAIS LED 15° - 30° 200W RGBL;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- 10 REFLETORES CICLORAMA LED RGBA;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- 12 Beam 9R;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- 01 CONSOLE Mesa DE LUZ COLOR SOURCE - ETC 20 CANAIS.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180"/>
        </w:tabs>
        <w:spacing w:after="160" w:line="256.7994545454545" w:lineRule="auto"/>
        <w:rPr>
          <w:rFonts w:ascii="Mulish" w:cs="Mulish" w:eastAsia="Mulish" w:hAnsi="Mulish"/>
          <w:sz w:val="24"/>
          <w:szCs w:val="24"/>
          <w:u w:val="single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u w:val="single"/>
          <w:rtl w:val="0"/>
        </w:rPr>
        <w:t xml:space="preserve">OBSERVAÇÃO: 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180"/>
        </w:tabs>
        <w:spacing w:after="160" w:line="256.7994545454545" w:lineRule="auto"/>
        <w:jc w:val="both"/>
        <w:rPr>
          <w:rFonts w:ascii="Mulish" w:cs="Mulish" w:eastAsia="Mulish" w:hAnsi="Mulish"/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Vale ressaltar que este rider pode ser atualizado, por questões de manutenção, até a apresentação do projeto no equipamento.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180"/>
        </w:tabs>
        <w:spacing w:after="160" w:line="256.7994545454545" w:lineRule="auto"/>
        <w:jc w:val="both"/>
        <w:rPr>
          <w:sz w:val="24"/>
          <w:szCs w:val="24"/>
        </w:rPr>
      </w:pP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Sendo assim, as necessidades técnicas informadas na ficha de inscrição das propostas selecionadas serão acordadas com a produção da Estação das Artes antes da montagem e/ou realização das atividades, para cumprimento das regras de segurança e de fluxo de execução das ações.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3782.9527559055123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ulish Extra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ulish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-925349</wp:posOffset>
          </wp:positionH>
          <wp:positionV relativeFrom="paragraph">
            <wp:posOffset>-990599</wp:posOffset>
          </wp:positionV>
          <wp:extent cx="7585075" cy="2023948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-933447</wp:posOffset>
          </wp:positionH>
          <wp:positionV relativeFrom="paragraph">
            <wp:posOffset>-1376246</wp:posOffset>
          </wp:positionV>
          <wp:extent cx="7585075" cy="2023948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-1357840</wp:posOffset>
          </wp:positionV>
          <wp:extent cx="7585075" cy="2023948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4646390</wp:posOffset>
          </wp:positionH>
          <wp:positionV relativeFrom="paragraph">
            <wp:posOffset>-190497</wp:posOffset>
          </wp:positionV>
          <wp:extent cx="1887760" cy="744713"/>
          <wp:effectExtent b="0" l="0" r="0" t="0"/>
          <wp:wrapNone/>
          <wp:docPr id="1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7760" cy="7447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-9523</wp:posOffset>
          </wp:positionV>
          <wp:extent cx="7581900" cy="190500"/>
          <wp:effectExtent b="0" l="0" r="0" t="0"/>
          <wp:wrapNone/>
          <wp:docPr id="9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1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ExtraLight-regular.ttf"/><Relationship Id="rId2" Type="http://schemas.openxmlformats.org/officeDocument/2006/relationships/font" Target="fonts/MulishExtraLight-bold.ttf"/><Relationship Id="rId3" Type="http://schemas.openxmlformats.org/officeDocument/2006/relationships/font" Target="fonts/MulishExtraLight-italic.ttf"/><Relationship Id="rId4" Type="http://schemas.openxmlformats.org/officeDocument/2006/relationships/font" Target="fonts/MulishExtraLight-boldItalic.ttf"/><Relationship Id="rId5" Type="http://schemas.openxmlformats.org/officeDocument/2006/relationships/font" Target="fonts/Mulish-regular.ttf"/><Relationship Id="rId6" Type="http://schemas.openxmlformats.org/officeDocument/2006/relationships/font" Target="fonts/Mulish-bold.ttf"/><Relationship Id="rId7" Type="http://schemas.openxmlformats.org/officeDocument/2006/relationships/font" Target="fonts/Mulish-italic.ttf"/><Relationship Id="rId8" Type="http://schemas.openxmlformats.org/officeDocument/2006/relationships/font" Target="fonts/Mulish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5iPS18Isq/vVYi8SKB0iJWPEQQ==">CgMxLjAyDmguaHd0eWRxcHU4dmtiOAByITFGX1Nlb1REVjA0QklsV3BYY0NUVHZlQ1pxNzRRQUNraw==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